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459" w:type="dxa"/>
        <w:tblLook w:val="04A0"/>
      </w:tblPr>
      <w:tblGrid>
        <w:gridCol w:w="1548"/>
        <w:gridCol w:w="1268"/>
        <w:gridCol w:w="5083"/>
        <w:gridCol w:w="1538"/>
        <w:gridCol w:w="4122"/>
        <w:gridCol w:w="1118"/>
      </w:tblGrid>
      <w:tr w:rsidR="00CD7527" w:rsidTr="001476DF">
        <w:tc>
          <w:tcPr>
            <w:tcW w:w="146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7527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Tableau de Répartition des bourses du Gouvernement Chinois</w:t>
            </w:r>
          </w:p>
          <w:p w:rsidR="00CD7527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D7527" w:rsidTr="001476DF">
        <w:tc>
          <w:tcPr>
            <w:tcW w:w="1548" w:type="dxa"/>
            <w:tcBorders>
              <w:top w:val="nil"/>
              <w:left w:val="nil"/>
            </w:tcBorders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</w:p>
        </w:tc>
        <w:tc>
          <w:tcPr>
            <w:tcW w:w="1268" w:type="dxa"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D03BB">
              <w:rPr>
                <w:b/>
                <w:bCs/>
                <w:sz w:val="26"/>
                <w:szCs w:val="26"/>
              </w:rPr>
              <w:t>Nombre</w:t>
            </w:r>
          </w:p>
        </w:tc>
        <w:tc>
          <w:tcPr>
            <w:tcW w:w="5083" w:type="dxa"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D03BB">
              <w:rPr>
                <w:b/>
                <w:bCs/>
                <w:sz w:val="26"/>
                <w:szCs w:val="26"/>
              </w:rPr>
              <w:t>Etudiants concernés</w:t>
            </w:r>
          </w:p>
        </w:tc>
        <w:tc>
          <w:tcPr>
            <w:tcW w:w="1538" w:type="dxa"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Nombre des b</w:t>
            </w:r>
            <w:r w:rsidRPr="002D03BB">
              <w:rPr>
                <w:b/>
                <w:bCs/>
                <w:sz w:val="26"/>
                <w:szCs w:val="26"/>
              </w:rPr>
              <w:t xml:space="preserve">ourses </w:t>
            </w:r>
          </w:p>
        </w:tc>
        <w:tc>
          <w:tcPr>
            <w:tcW w:w="4122" w:type="dxa"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D03BB">
              <w:rPr>
                <w:b/>
                <w:bCs/>
                <w:sz w:val="26"/>
                <w:szCs w:val="26"/>
              </w:rPr>
              <w:t>Critères de choix</w:t>
            </w:r>
          </w:p>
        </w:tc>
        <w:tc>
          <w:tcPr>
            <w:tcW w:w="1118" w:type="dxa"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Pr="002D03BB">
              <w:rPr>
                <w:b/>
                <w:bCs/>
                <w:sz w:val="26"/>
                <w:szCs w:val="26"/>
              </w:rPr>
              <w:t>otal</w:t>
            </w:r>
          </w:p>
        </w:tc>
      </w:tr>
      <w:tr w:rsidR="00CD7527" w:rsidTr="001476DF">
        <w:trPr>
          <w:trHeight w:val="503"/>
        </w:trPr>
        <w:tc>
          <w:tcPr>
            <w:tcW w:w="1548" w:type="dxa"/>
            <w:vMerge w:val="restart"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D03BB">
              <w:rPr>
                <w:b/>
                <w:bCs/>
                <w:sz w:val="26"/>
                <w:szCs w:val="26"/>
              </w:rPr>
              <w:t>Bourses de stages de recherche</w:t>
            </w:r>
          </w:p>
        </w:tc>
        <w:tc>
          <w:tcPr>
            <w:tcW w:w="1268" w:type="dxa"/>
            <w:vMerge w:val="restart"/>
            <w:vAlign w:val="center"/>
          </w:tcPr>
          <w:p w:rsidR="00CD7527" w:rsidRDefault="0053244F" w:rsidP="00B04A75">
            <w:pPr>
              <w:pStyle w:val="Retraitcorpsdetexte"/>
              <w:spacing w:before="12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  <w:r w:rsidR="00CD7527">
              <w:rPr>
                <w:sz w:val="26"/>
                <w:szCs w:val="26"/>
              </w:rPr>
              <w:t xml:space="preserve"> mois</w:t>
            </w:r>
          </w:p>
        </w:tc>
        <w:tc>
          <w:tcPr>
            <w:tcW w:w="5083" w:type="dxa"/>
          </w:tcPr>
          <w:p w:rsidR="00CD7527" w:rsidRDefault="00CD7527" w:rsidP="00B04A75">
            <w:pPr>
              <w:pStyle w:val="Retraitcorpsdetexte"/>
              <w:keepNext/>
              <w:keepLines/>
              <w:spacing w:before="12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étudiants de la 2</w:t>
            </w:r>
            <w:r w:rsidRPr="00A97E6A">
              <w:rPr>
                <w:sz w:val="26"/>
                <w:szCs w:val="26"/>
                <w:vertAlign w:val="superscript"/>
              </w:rPr>
              <w:t>ème</w:t>
            </w:r>
            <w:r>
              <w:rPr>
                <w:sz w:val="26"/>
                <w:szCs w:val="26"/>
              </w:rPr>
              <w:t xml:space="preserve"> année de langue chinoise à l’ISLT.</w:t>
            </w:r>
          </w:p>
        </w:tc>
        <w:tc>
          <w:tcPr>
            <w:tcW w:w="1538" w:type="dxa"/>
          </w:tcPr>
          <w:p w:rsidR="00CD7527" w:rsidRDefault="003934F5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D7527">
              <w:rPr>
                <w:sz w:val="26"/>
                <w:szCs w:val="26"/>
              </w:rPr>
              <w:t xml:space="preserve"> bourses de 6 mois chacune</w:t>
            </w:r>
          </w:p>
        </w:tc>
        <w:tc>
          <w:tcPr>
            <w:tcW w:w="4122" w:type="dxa"/>
          </w:tcPr>
          <w:p w:rsidR="00CD7527" w:rsidRDefault="00CD7527" w:rsidP="00B04A75">
            <w:pPr>
              <w:pStyle w:val="Retraitcorpsdetexte"/>
              <w:spacing w:before="12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 proposition de l’Institut Supérieur des Langues de Tunis.</w:t>
            </w:r>
          </w:p>
        </w:tc>
        <w:tc>
          <w:tcPr>
            <w:tcW w:w="1118" w:type="dxa"/>
          </w:tcPr>
          <w:p w:rsidR="00CD7527" w:rsidRDefault="003934F5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D7527">
              <w:rPr>
                <w:sz w:val="26"/>
                <w:szCs w:val="26"/>
              </w:rPr>
              <w:t xml:space="preserve"> mois</w:t>
            </w:r>
          </w:p>
        </w:tc>
      </w:tr>
      <w:tr w:rsidR="00CD7527" w:rsidTr="001476DF">
        <w:trPr>
          <w:trHeight w:val="2206"/>
        </w:trPr>
        <w:tc>
          <w:tcPr>
            <w:tcW w:w="1548" w:type="dxa"/>
            <w:vMerge/>
            <w:vAlign w:val="center"/>
          </w:tcPr>
          <w:p w:rsidR="00CD7527" w:rsidRPr="002D03BB" w:rsidRDefault="00CD7527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</w:p>
        </w:tc>
        <w:tc>
          <w:tcPr>
            <w:tcW w:w="5083" w:type="dxa"/>
          </w:tcPr>
          <w:p w:rsidR="00CD7527" w:rsidRDefault="00CD7527" w:rsidP="00B04A75">
            <w:pPr>
              <w:pStyle w:val="Titre3"/>
              <w:jc w:val="lef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étudiants tunisiens en Mastère ou en D</w:t>
            </w:r>
            <w:r w:rsidRPr="0057122A">
              <w:rPr>
                <w:sz w:val="26"/>
                <w:szCs w:val="26"/>
              </w:rPr>
              <w:t xml:space="preserve">octorat </w:t>
            </w:r>
            <w:r>
              <w:rPr>
                <w:sz w:val="26"/>
                <w:szCs w:val="26"/>
              </w:rPr>
              <w:t>pour des séjours de recherche</w:t>
            </w:r>
            <w:r w:rsidRPr="0057122A">
              <w:rPr>
                <w:sz w:val="26"/>
                <w:szCs w:val="26"/>
              </w:rPr>
              <w:t xml:space="preserve"> en rapport avec leurs études dans des établissements d’enseignement supérieur chinois</w:t>
            </w:r>
            <w:r>
              <w:rPr>
                <w:sz w:val="26"/>
                <w:szCs w:val="26"/>
              </w:rPr>
              <w:t xml:space="preserve"> et/ou l</w:t>
            </w:r>
            <w:r w:rsidRPr="0057122A">
              <w:rPr>
                <w:sz w:val="26"/>
                <w:szCs w:val="26"/>
              </w:rPr>
              <w:t>es enseignants chercheurs tunisiens</w:t>
            </w:r>
            <w:r>
              <w:rPr>
                <w:sz w:val="26"/>
                <w:szCs w:val="26"/>
              </w:rPr>
              <w:t xml:space="preserve"> qui souhaitent</w:t>
            </w:r>
            <w:r w:rsidRPr="005712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faire</w:t>
            </w:r>
            <w:r w:rsidRPr="0057122A">
              <w:rPr>
                <w:sz w:val="26"/>
                <w:szCs w:val="26"/>
              </w:rPr>
              <w:t xml:space="preserve"> des recherches dans des établissements d’enseignement supérieur chinois.</w:t>
            </w:r>
          </w:p>
        </w:tc>
        <w:tc>
          <w:tcPr>
            <w:tcW w:w="1538" w:type="dxa"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</w:p>
        </w:tc>
        <w:tc>
          <w:tcPr>
            <w:tcW w:w="4122" w:type="dxa"/>
          </w:tcPr>
          <w:p w:rsidR="00CD7527" w:rsidRDefault="00CD7527" w:rsidP="00B04A75">
            <w:pPr>
              <w:pStyle w:val="Retraitcorpsdetexte"/>
              <w:spacing w:before="12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 la base de la moyenne générale du cursus universitaire avec une priorité accordée aux enseignants chercheurs et aux doctorants.</w:t>
            </w:r>
          </w:p>
        </w:tc>
        <w:tc>
          <w:tcPr>
            <w:tcW w:w="1118" w:type="dxa"/>
          </w:tcPr>
          <w:p w:rsidR="00CD7527" w:rsidRDefault="0053244F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CD7527">
              <w:rPr>
                <w:sz w:val="26"/>
                <w:szCs w:val="26"/>
              </w:rPr>
              <w:t xml:space="preserve"> mois</w:t>
            </w:r>
          </w:p>
        </w:tc>
      </w:tr>
      <w:tr w:rsidR="001476DF" w:rsidTr="001476DF">
        <w:trPr>
          <w:trHeight w:val="1411"/>
        </w:trPr>
        <w:tc>
          <w:tcPr>
            <w:tcW w:w="1548" w:type="dxa"/>
            <w:vMerge w:val="restart"/>
            <w:vAlign w:val="center"/>
          </w:tcPr>
          <w:p w:rsidR="001476DF" w:rsidRPr="002D03BB" w:rsidRDefault="001476DF" w:rsidP="00B04A75">
            <w:pPr>
              <w:pStyle w:val="Retraitcorpsdetexte"/>
              <w:spacing w:before="120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2D03BB">
              <w:rPr>
                <w:b/>
                <w:bCs/>
                <w:sz w:val="26"/>
                <w:szCs w:val="26"/>
              </w:rPr>
              <w:t>Bourses d’études</w:t>
            </w:r>
          </w:p>
        </w:tc>
        <w:tc>
          <w:tcPr>
            <w:tcW w:w="1268" w:type="dxa"/>
            <w:vMerge w:val="restart"/>
            <w:vAlign w:val="center"/>
          </w:tcPr>
          <w:p w:rsidR="001476DF" w:rsidRDefault="004E7BFC" w:rsidP="00B04A75">
            <w:pPr>
              <w:pStyle w:val="Retraitcorpsdetexte"/>
              <w:spacing w:before="12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83" w:type="dxa"/>
          </w:tcPr>
          <w:p w:rsidR="001476DF" w:rsidRDefault="001476DF" w:rsidP="001476DF">
            <w:pPr>
              <w:pStyle w:val="Retraitcorpsdetexte"/>
              <w:keepNext/>
              <w:keepLines/>
              <w:spacing w:before="12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étudiants titulaires de leur License (ou Maitrise) en langue chinoise et/ou titulaires de leur Mastère en linguistiques.</w:t>
            </w:r>
          </w:p>
        </w:tc>
        <w:tc>
          <w:tcPr>
            <w:tcW w:w="1538" w:type="dxa"/>
          </w:tcPr>
          <w:p w:rsidR="001476DF" w:rsidRDefault="004E7BFC" w:rsidP="001476DF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22" w:type="dxa"/>
          </w:tcPr>
          <w:p w:rsidR="001476DF" w:rsidRDefault="001476DF" w:rsidP="001476DF">
            <w:pPr>
              <w:pStyle w:val="Retraitcorpsdetexte"/>
              <w:spacing w:before="12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 proposition de l’Institut Supérieur des Langues de Tunis</w:t>
            </w:r>
          </w:p>
        </w:tc>
        <w:tc>
          <w:tcPr>
            <w:tcW w:w="1118" w:type="dxa"/>
          </w:tcPr>
          <w:p w:rsidR="001476DF" w:rsidRDefault="004E7BFC" w:rsidP="001476DF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D7527" w:rsidTr="001476DF">
        <w:trPr>
          <w:trHeight w:val="556"/>
        </w:trPr>
        <w:tc>
          <w:tcPr>
            <w:tcW w:w="1548" w:type="dxa"/>
            <w:vMerge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</w:p>
        </w:tc>
        <w:tc>
          <w:tcPr>
            <w:tcW w:w="5083" w:type="dxa"/>
          </w:tcPr>
          <w:p w:rsidR="00CD7527" w:rsidRDefault="00CD7527" w:rsidP="00B04A75">
            <w:pPr>
              <w:pStyle w:val="Titre3"/>
              <w:keepLines/>
              <w:jc w:val="lef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 é</w:t>
            </w:r>
            <w:r w:rsidRPr="0057122A">
              <w:rPr>
                <w:sz w:val="26"/>
                <w:szCs w:val="26"/>
              </w:rPr>
              <w:t>tudiants des</w:t>
            </w:r>
            <w:r>
              <w:rPr>
                <w:sz w:val="26"/>
                <w:szCs w:val="26"/>
              </w:rPr>
              <w:t xml:space="preserve"> autres</w:t>
            </w:r>
            <w:r w:rsidRPr="0057122A">
              <w:rPr>
                <w:sz w:val="26"/>
                <w:szCs w:val="26"/>
              </w:rPr>
              <w:t xml:space="preserve"> spécialités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38" w:type="dxa"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4122" w:type="dxa"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 la base de la moyenne générale du cursus universitaire avec une priorité accordée aux doctorants.</w:t>
            </w:r>
          </w:p>
        </w:tc>
        <w:tc>
          <w:tcPr>
            <w:tcW w:w="1118" w:type="dxa"/>
          </w:tcPr>
          <w:p w:rsidR="00CD7527" w:rsidRDefault="00CD7527" w:rsidP="00B04A75">
            <w:pPr>
              <w:pStyle w:val="Retraitcorpsdetexte"/>
              <w:spacing w:before="1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A65504" w:rsidRDefault="00A65504"/>
    <w:sectPr w:rsidR="00A65504" w:rsidSect="00CD752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D7527"/>
    <w:rsid w:val="00086BA0"/>
    <w:rsid w:val="00106120"/>
    <w:rsid w:val="001476DF"/>
    <w:rsid w:val="0018668B"/>
    <w:rsid w:val="003934F5"/>
    <w:rsid w:val="003A0C46"/>
    <w:rsid w:val="004E7BFC"/>
    <w:rsid w:val="005034EB"/>
    <w:rsid w:val="0053244F"/>
    <w:rsid w:val="00584070"/>
    <w:rsid w:val="00670D26"/>
    <w:rsid w:val="007E707A"/>
    <w:rsid w:val="008D6F8B"/>
    <w:rsid w:val="00955095"/>
    <w:rsid w:val="009B6903"/>
    <w:rsid w:val="00A65504"/>
    <w:rsid w:val="00B623EE"/>
    <w:rsid w:val="00C33C01"/>
    <w:rsid w:val="00CD7527"/>
    <w:rsid w:val="00E93ECF"/>
    <w:rsid w:val="00EB39FF"/>
    <w:rsid w:val="00F5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CD7527"/>
    <w:pPr>
      <w:keepNext/>
      <w:jc w:val="center"/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D7527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rsid w:val="00CD7527"/>
    <w:pPr>
      <w:ind w:firstLine="567"/>
      <w:jc w:val="both"/>
    </w:pPr>
    <w:rPr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CD7527"/>
    <w:rPr>
      <w:rFonts w:ascii="Times New Roman" w:eastAsia="Times New Roman" w:hAnsi="Times New Roman" w:cs="Times New Roman"/>
      <w:sz w:val="28"/>
      <w:szCs w:val="28"/>
      <w:lang w:eastAsia="fr-FR"/>
    </w:rPr>
  </w:style>
  <w:style w:type="table" w:styleId="Grilledutableau">
    <w:name w:val="Table Grid"/>
    <w:basedOn w:val="TableauNormal"/>
    <w:rsid w:val="00CD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 Rouissi</dc:creator>
  <cp:lastModifiedBy>ERP1</cp:lastModifiedBy>
  <cp:revision>2</cp:revision>
  <dcterms:created xsi:type="dcterms:W3CDTF">2020-01-07T14:47:00Z</dcterms:created>
  <dcterms:modified xsi:type="dcterms:W3CDTF">2020-01-07T14:47:00Z</dcterms:modified>
</cp:coreProperties>
</file>